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E2A50" w14:textId="3573C976" w:rsidR="00F0298C" w:rsidRPr="009C489B" w:rsidRDefault="00F0298C" w:rsidP="00742869">
      <w:pPr>
        <w:overflowPunct w:val="0"/>
        <w:autoSpaceDE w:val="0"/>
        <w:autoSpaceDN w:val="0"/>
        <w:spacing w:after="0" w:line="240" w:lineRule="auto"/>
        <w:contextualSpacing/>
        <w:jc w:val="both"/>
        <w:rPr>
          <w:rFonts w:ascii="Times New Roman" w:hAnsi="Times New Roman" w:cs="Times New Roman"/>
          <w:b/>
          <w:bCs/>
          <w:sz w:val="28"/>
          <w:szCs w:val="28"/>
          <w:u w:val="single"/>
        </w:rPr>
      </w:pPr>
      <w:r w:rsidRPr="009C489B">
        <w:rPr>
          <w:rFonts w:ascii="Times New Roman" w:hAnsi="Times New Roman" w:cs="Times New Roman"/>
          <w:b/>
          <w:bCs/>
          <w:sz w:val="28"/>
          <w:szCs w:val="28"/>
          <w:u w:val="single"/>
        </w:rPr>
        <w:t>Clause Description:</w:t>
      </w:r>
    </w:p>
    <w:p w14:paraId="6C8A02F2" w14:textId="77777777" w:rsidR="00F0298C" w:rsidRPr="009C489B" w:rsidRDefault="00F0298C" w:rsidP="00742869">
      <w:pPr>
        <w:overflowPunct w:val="0"/>
        <w:autoSpaceDE w:val="0"/>
        <w:autoSpaceDN w:val="0"/>
        <w:spacing w:after="0" w:line="240" w:lineRule="auto"/>
        <w:contextualSpacing/>
        <w:jc w:val="both"/>
        <w:rPr>
          <w:rFonts w:ascii="Times New Roman" w:hAnsi="Times New Roman" w:cs="Times New Roman"/>
          <w:sz w:val="24"/>
          <w:szCs w:val="24"/>
        </w:rPr>
      </w:pPr>
    </w:p>
    <w:p w14:paraId="162610E7" w14:textId="3B30AD51" w:rsidR="003F1B6E" w:rsidRDefault="00F0298C" w:rsidP="00742869">
      <w:pPr>
        <w:overflowPunct w:val="0"/>
        <w:autoSpaceDE w:val="0"/>
        <w:autoSpaceDN w:val="0"/>
        <w:spacing w:after="0" w:line="240" w:lineRule="auto"/>
        <w:contextualSpacing/>
        <w:jc w:val="both"/>
        <w:rPr>
          <w:rFonts w:ascii="Times New Roman" w:hAnsi="Times New Roman" w:cs="Times New Roman"/>
          <w:sz w:val="24"/>
          <w:szCs w:val="24"/>
        </w:rPr>
      </w:pPr>
      <w:r w:rsidRPr="009C489B">
        <w:rPr>
          <w:rFonts w:ascii="Times New Roman" w:hAnsi="Times New Roman" w:cs="Times New Roman"/>
          <w:sz w:val="24"/>
          <w:szCs w:val="24"/>
        </w:rPr>
        <w:t xml:space="preserve">The </w:t>
      </w:r>
      <w:r w:rsidR="003F1B6E" w:rsidRPr="003F1B6E">
        <w:rPr>
          <w:rFonts w:ascii="Times New Roman" w:hAnsi="Times New Roman" w:cs="Times New Roman"/>
          <w:i/>
          <w:iCs/>
          <w:sz w:val="24"/>
          <w:szCs w:val="24"/>
        </w:rPr>
        <w:t xml:space="preserve">Bailee’s </w:t>
      </w:r>
      <w:r w:rsidRPr="009C489B">
        <w:rPr>
          <w:rFonts w:ascii="Times New Roman" w:hAnsi="Times New Roman" w:cs="Times New Roman"/>
          <w:i/>
          <w:iCs/>
          <w:sz w:val="24"/>
          <w:szCs w:val="24"/>
        </w:rPr>
        <w:t>Liability</w:t>
      </w:r>
      <w:r w:rsidRPr="009C489B">
        <w:rPr>
          <w:rFonts w:ascii="Times New Roman" w:hAnsi="Times New Roman" w:cs="Times New Roman"/>
          <w:sz w:val="24"/>
          <w:szCs w:val="24"/>
        </w:rPr>
        <w:t xml:space="preserve"> </w:t>
      </w:r>
      <w:r w:rsidR="00742869">
        <w:rPr>
          <w:rFonts w:ascii="Times New Roman" w:hAnsi="Times New Roman" w:cs="Times New Roman"/>
          <w:sz w:val="24"/>
          <w:szCs w:val="24"/>
        </w:rPr>
        <w:t>i</w:t>
      </w:r>
      <w:r w:rsidR="003F1B6E" w:rsidRPr="00742869">
        <w:rPr>
          <w:rFonts w:ascii="Times New Roman" w:hAnsi="Times New Roman" w:cs="Times New Roman"/>
          <w:sz w:val="24"/>
          <w:szCs w:val="24"/>
        </w:rPr>
        <w:t xml:space="preserve">nsurance </w:t>
      </w:r>
      <w:r w:rsidRPr="009C489B">
        <w:rPr>
          <w:rFonts w:ascii="Times New Roman" w:hAnsi="Times New Roman" w:cs="Times New Roman"/>
          <w:sz w:val="24"/>
          <w:szCs w:val="24"/>
        </w:rPr>
        <w:t xml:space="preserve">clause is used to provide </w:t>
      </w:r>
      <w:r>
        <w:rPr>
          <w:rFonts w:ascii="Times New Roman" w:hAnsi="Times New Roman" w:cs="Times New Roman"/>
          <w:sz w:val="24"/>
          <w:szCs w:val="24"/>
        </w:rPr>
        <w:t>coverage</w:t>
      </w:r>
      <w:r w:rsidR="003F1B6E">
        <w:rPr>
          <w:rFonts w:ascii="Times New Roman" w:hAnsi="Times New Roman" w:cs="Times New Roman"/>
          <w:sz w:val="24"/>
          <w:szCs w:val="24"/>
        </w:rPr>
        <w:t xml:space="preserve"> for the contractor where a claim for </w:t>
      </w:r>
      <w:r w:rsidR="008E55DD">
        <w:rPr>
          <w:rFonts w:ascii="Times New Roman" w:hAnsi="Times New Roman" w:cs="Times New Roman"/>
          <w:sz w:val="24"/>
          <w:szCs w:val="24"/>
        </w:rPr>
        <w:t xml:space="preserve">loss or </w:t>
      </w:r>
      <w:r w:rsidR="003F1B6E">
        <w:rPr>
          <w:rFonts w:ascii="Times New Roman" w:hAnsi="Times New Roman" w:cs="Times New Roman"/>
          <w:sz w:val="24"/>
          <w:szCs w:val="24"/>
        </w:rPr>
        <w:t xml:space="preserve">damage(s) arising from </w:t>
      </w:r>
      <w:r w:rsidR="008E55DD">
        <w:rPr>
          <w:rFonts w:ascii="Times New Roman" w:hAnsi="Times New Roman" w:cs="Times New Roman"/>
          <w:sz w:val="24"/>
          <w:szCs w:val="24"/>
        </w:rPr>
        <w:t xml:space="preserve">the contractor’s </w:t>
      </w:r>
      <w:r w:rsidR="003F1B6E">
        <w:rPr>
          <w:rFonts w:ascii="Times New Roman" w:hAnsi="Times New Roman" w:cs="Times New Roman"/>
          <w:sz w:val="24"/>
          <w:szCs w:val="24"/>
        </w:rPr>
        <w:t xml:space="preserve">negligence </w:t>
      </w:r>
      <w:r w:rsidR="008E55DD">
        <w:rPr>
          <w:rFonts w:ascii="Times New Roman" w:hAnsi="Times New Roman" w:cs="Times New Roman"/>
          <w:sz w:val="24"/>
          <w:szCs w:val="24"/>
        </w:rPr>
        <w:t>in the handling or storing of</w:t>
      </w:r>
      <w:r w:rsidR="003F1B6E">
        <w:rPr>
          <w:rFonts w:ascii="Times New Roman" w:hAnsi="Times New Roman" w:cs="Times New Roman"/>
          <w:sz w:val="24"/>
          <w:szCs w:val="24"/>
        </w:rPr>
        <w:t xml:space="preserve"> goods owned by others while </w:t>
      </w:r>
      <w:r w:rsidR="008E55DD">
        <w:rPr>
          <w:rFonts w:ascii="Times New Roman" w:hAnsi="Times New Roman" w:cs="Times New Roman"/>
          <w:sz w:val="24"/>
          <w:szCs w:val="24"/>
        </w:rPr>
        <w:t xml:space="preserve">those goods are </w:t>
      </w:r>
      <w:r w:rsidR="003F1B6E">
        <w:rPr>
          <w:rFonts w:ascii="Times New Roman" w:hAnsi="Times New Roman" w:cs="Times New Roman"/>
          <w:sz w:val="24"/>
          <w:szCs w:val="24"/>
        </w:rPr>
        <w:t>in its care, custody, or control</w:t>
      </w:r>
      <w:r w:rsidR="008E55DD">
        <w:rPr>
          <w:rFonts w:ascii="Times New Roman" w:hAnsi="Times New Roman" w:cs="Times New Roman"/>
          <w:sz w:val="24"/>
          <w:szCs w:val="24"/>
        </w:rPr>
        <w:t xml:space="preserve"> and</w:t>
      </w:r>
      <w:r w:rsidR="003F1B6E">
        <w:rPr>
          <w:rFonts w:ascii="Times New Roman" w:hAnsi="Times New Roman" w:cs="Times New Roman"/>
          <w:sz w:val="24"/>
          <w:szCs w:val="24"/>
        </w:rPr>
        <w:t xml:space="preserve"> which are </w:t>
      </w:r>
      <w:r w:rsidR="008E55DD">
        <w:rPr>
          <w:rFonts w:ascii="Times New Roman" w:hAnsi="Times New Roman" w:cs="Times New Roman"/>
          <w:sz w:val="24"/>
          <w:szCs w:val="24"/>
        </w:rPr>
        <w:t xml:space="preserve">typically </w:t>
      </w:r>
      <w:r w:rsidR="003F1B6E">
        <w:rPr>
          <w:rFonts w:ascii="Times New Roman" w:hAnsi="Times New Roman" w:cs="Times New Roman"/>
          <w:sz w:val="24"/>
          <w:szCs w:val="24"/>
        </w:rPr>
        <w:t>excluded under a Commercial General Liability policy.</w:t>
      </w:r>
      <w:r>
        <w:rPr>
          <w:rFonts w:ascii="Times New Roman" w:hAnsi="Times New Roman" w:cs="Times New Roman"/>
          <w:sz w:val="24"/>
          <w:szCs w:val="24"/>
        </w:rPr>
        <w:t xml:space="preserve"> </w:t>
      </w:r>
    </w:p>
    <w:p w14:paraId="713B37E2" w14:textId="77777777" w:rsidR="003F1B6E" w:rsidRDefault="003F1B6E" w:rsidP="00742869">
      <w:pPr>
        <w:overflowPunct w:val="0"/>
        <w:autoSpaceDE w:val="0"/>
        <w:autoSpaceDN w:val="0"/>
        <w:spacing w:after="0" w:line="240" w:lineRule="auto"/>
        <w:contextualSpacing/>
        <w:jc w:val="both"/>
        <w:rPr>
          <w:rFonts w:ascii="Times New Roman" w:hAnsi="Times New Roman" w:cs="Times New Roman"/>
          <w:sz w:val="24"/>
          <w:szCs w:val="24"/>
        </w:rPr>
      </w:pPr>
    </w:p>
    <w:p w14:paraId="7DC2638C" w14:textId="77777777" w:rsidR="00F0298C" w:rsidRPr="009C489B" w:rsidRDefault="00F0298C" w:rsidP="00742869">
      <w:pPr>
        <w:overflowPunct w:val="0"/>
        <w:autoSpaceDE w:val="0"/>
        <w:autoSpaceDN w:val="0"/>
        <w:spacing w:after="0" w:line="240" w:lineRule="auto"/>
        <w:ind w:left="659"/>
        <w:contextualSpacing/>
        <w:jc w:val="both"/>
        <w:rPr>
          <w:rFonts w:ascii="Times New Roman" w:hAnsi="Times New Roman" w:cs="Times New Roman"/>
          <w:sz w:val="24"/>
          <w:szCs w:val="24"/>
        </w:rPr>
      </w:pPr>
    </w:p>
    <w:p w14:paraId="2571F0CA" w14:textId="7C5B8356" w:rsidR="00F0298C" w:rsidRPr="00CB0F67" w:rsidRDefault="00F0298C" w:rsidP="00742869">
      <w:pPr>
        <w:overflowPunct w:val="0"/>
        <w:autoSpaceDE w:val="0"/>
        <w:autoSpaceDN w:val="0"/>
        <w:spacing w:after="0" w:line="240" w:lineRule="auto"/>
        <w:contextualSpacing/>
        <w:jc w:val="both"/>
        <w:rPr>
          <w:rStyle w:val="normaltextrun"/>
          <w:b/>
          <w:bCs/>
        </w:rPr>
      </w:pPr>
      <w:r w:rsidRPr="009C489B">
        <w:rPr>
          <w:rFonts w:ascii="Times New Roman" w:hAnsi="Times New Roman" w:cs="Times New Roman"/>
          <w:b/>
          <w:bCs/>
          <w:sz w:val="28"/>
          <w:szCs w:val="28"/>
          <w:u w:val="single"/>
        </w:rPr>
        <w:t xml:space="preserve">The Recommended Clause – </w:t>
      </w:r>
      <w:r w:rsidR="00BA03EB">
        <w:rPr>
          <w:rFonts w:ascii="Times New Roman" w:hAnsi="Times New Roman" w:cs="Times New Roman"/>
          <w:b/>
          <w:bCs/>
          <w:sz w:val="28"/>
          <w:szCs w:val="28"/>
          <w:u w:val="single"/>
        </w:rPr>
        <w:t>Bailee’s</w:t>
      </w:r>
      <w:r w:rsidRPr="009C489B">
        <w:rPr>
          <w:rStyle w:val="normaltextrun"/>
          <w:rFonts w:ascii="Times New Roman" w:hAnsi="Times New Roman" w:cs="Times New Roman"/>
          <w:b/>
          <w:bCs/>
          <w:sz w:val="28"/>
          <w:szCs w:val="28"/>
          <w:u w:val="single"/>
        </w:rPr>
        <w:t xml:space="preserve"> Liability</w:t>
      </w:r>
    </w:p>
    <w:p w14:paraId="1F2F43D6" w14:textId="77777777" w:rsidR="00F0298C" w:rsidRDefault="00F0298C" w:rsidP="00742869">
      <w:pPr>
        <w:pStyle w:val="paragraph"/>
        <w:spacing w:before="0" w:beforeAutospacing="0" w:after="0" w:afterAutospacing="0"/>
        <w:jc w:val="both"/>
        <w:textAlignment w:val="baseline"/>
        <w:rPr>
          <w:rStyle w:val="normaltextrun"/>
          <w:lang w:val="en-US"/>
        </w:rPr>
      </w:pPr>
    </w:p>
    <w:p w14:paraId="271DC8C6" w14:textId="06F81106" w:rsidR="003F1B6E" w:rsidRDefault="00F0298C" w:rsidP="007428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3F1B6E">
        <w:rPr>
          <w:rStyle w:val="normaltextrun"/>
          <w:rFonts w:ascii="Times New Roman" w:hAnsi="Times New Roman" w:cs="Times New Roman"/>
          <w:sz w:val="24"/>
          <w:szCs w:val="24"/>
        </w:rPr>
        <w:t xml:space="preserve">In addition to the </w:t>
      </w:r>
      <w:r w:rsidRPr="003F1B6E">
        <w:rPr>
          <w:rStyle w:val="normaltextrun"/>
          <w:rFonts w:ascii="Times New Roman" w:hAnsi="Times New Roman" w:cs="Times New Roman"/>
          <w:color w:val="FF0000"/>
          <w:sz w:val="24"/>
          <w:szCs w:val="24"/>
        </w:rPr>
        <w:t>Purchaser’s</w:t>
      </w:r>
      <w:r w:rsidRPr="003F1B6E">
        <w:rPr>
          <w:rStyle w:val="normaltextrun"/>
          <w:rFonts w:ascii="Times New Roman" w:hAnsi="Times New Roman" w:cs="Times New Roman"/>
          <w:sz w:val="24"/>
          <w:szCs w:val="24"/>
        </w:rPr>
        <w:t xml:space="preserve"> requirement for </w:t>
      </w:r>
      <w:r w:rsidR="00742869">
        <w:rPr>
          <w:rStyle w:val="normaltextrun"/>
          <w:rFonts w:ascii="Times New Roman" w:hAnsi="Times New Roman" w:cs="Times New Roman"/>
          <w:sz w:val="24"/>
          <w:szCs w:val="24"/>
        </w:rPr>
        <w:t xml:space="preserve">Commercial </w:t>
      </w:r>
      <w:r w:rsidRPr="003F1B6E">
        <w:rPr>
          <w:rStyle w:val="normaltextrun"/>
          <w:rFonts w:ascii="Times New Roman" w:hAnsi="Times New Roman" w:cs="Times New Roman"/>
          <w:sz w:val="24"/>
          <w:szCs w:val="24"/>
        </w:rPr>
        <w:t xml:space="preserve">General Liability Insurance, the </w:t>
      </w:r>
      <w:r w:rsidRPr="003F1B6E">
        <w:rPr>
          <w:rStyle w:val="normaltextrun"/>
          <w:rFonts w:ascii="Times New Roman" w:hAnsi="Times New Roman" w:cs="Times New Roman"/>
          <w:color w:val="FF0000"/>
          <w:sz w:val="24"/>
          <w:szCs w:val="24"/>
        </w:rPr>
        <w:t>Contractor</w:t>
      </w:r>
      <w:r w:rsidRPr="003F1B6E">
        <w:rPr>
          <w:rStyle w:val="normaltextrun"/>
          <w:rFonts w:ascii="Times New Roman" w:hAnsi="Times New Roman" w:cs="Times New Roman"/>
          <w:sz w:val="24"/>
          <w:szCs w:val="24"/>
        </w:rPr>
        <w:t xml:space="preserve"> shall provide </w:t>
      </w:r>
      <w:r w:rsidR="003F1B6E" w:rsidRPr="003F1B6E">
        <w:rPr>
          <w:rFonts w:ascii="Times New Roman" w:eastAsia="Times New Roman" w:hAnsi="Times New Roman" w:cs="Times New Roman"/>
          <w:color w:val="000000"/>
          <w:sz w:val="24"/>
          <w:szCs w:val="24"/>
        </w:rPr>
        <w:t>Bailee's Liability insurance</w:t>
      </w:r>
      <w:r w:rsidR="003F1B6E">
        <w:rPr>
          <w:rFonts w:ascii="Times New Roman" w:eastAsia="Times New Roman" w:hAnsi="Times New Roman" w:cs="Times New Roman"/>
          <w:color w:val="000000"/>
          <w:sz w:val="24"/>
          <w:szCs w:val="24"/>
        </w:rPr>
        <w:t xml:space="preserve">, which shall be </w:t>
      </w:r>
      <w:r w:rsidR="003F1B6E" w:rsidRPr="003F1B6E">
        <w:rPr>
          <w:rFonts w:ascii="Times New Roman" w:eastAsia="Times New Roman" w:hAnsi="Times New Roman" w:cs="Times New Roman"/>
          <w:color w:val="000000"/>
          <w:sz w:val="24"/>
          <w:szCs w:val="24"/>
        </w:rPr>
        <w:t xml:space="preserve">in force throughout the duration of the </w:t>
      </w:r>
      <w:r w:rsidR="003F1B6E" w:rsidRPr="008E55DD">
        <w:rPr>
          <w:rFonts w:ascii="Times New Roman" w:eastAsia="Times New Roman" w:hAnsi="Times New Roman" w:cs="Times New Roman"/>
          <w:color w:val="FF0000"/>
          <w:sz w:val="24"/>
          <w:szCs w:val="24"/>
        </w:rPr>
        <w:t>Contract</w:t>
      </w:r>
      <w:r w:rsidR="003F1B6E" w:rsidRPr="003F1B6E">
        <w:rPr>
          <w:rFonts w:ascii="Times New Roman" w:eastAsia="Times New Roman" w:hAnsi="Times New Roman" w:cs="Times New Roman"/>
          <w:color w:val="000000"/>
          <w:sz w:val="24"/>
          <w:szCs w:val="24"/>
        </w:rPr>
        <w:t xml:space="preserve">, in an </w:t>
      </w:r>
      <w:r w:rsidR="003F1B6E">
        <w:rPr>
          <w:rFonts w:ascii="Times New Roman" w:eastAsia="Times New Roman" w:hAnsi="Times New Roman" w:cs="Times New Roman"/>
          <w:color w:val="000000"/>
          <w:sz w:val="24"/>
          <w:szCs w:val="24"/>
        </w:rPr>
        <w:t>a</w:t>
      </w:r>
      <w:r w:rsidR="003F1B6E" w:rsidRPr="003F1B6E">
        <w:rPr>
          <w:rFonts w:ascii="Times New Roman" w:eastAsia="Times New Roman" w:hAnsi="Times New Roman" w:cs="Times New Roman"/>
          <w:color w:val="000000"/>
          <w:sz w:val="24"/>
          <w:szCs w:val="24"/>
        </w:rPr>
        <w:t xml:space="preserve">mount </w:t>
      </w:r>
      <w:r w:rsidR="003F1B6E">
        <w:rPr>
          <w:rFonts w:ascii="Times New Roman" w:eastAsia="Times New Roman" w:hAnsi="Times New Roman" w:cs="Times New Roman"/>
          <w:color w:val="000000"/>
          <w:sz w:val="24"/>
          <w:szCs w:val="24"/>
        </w:rPr>
        <w:t xml:space="preserve">of not less than </w:t>
      </w:r>
      <w:r w:rsidR="003F1B6E" w:rsidRPr="003F1B6E">
        <w:rPr>
          <w:rFonts w:ascii="Times New Roman" w:eastAsia="Times New Roman" w:hAnsi="Times New Roman" w:cs="Times New Roman"/>
          <w:color w:val="FF0000"/>
          <w:sz w:val="24"/>
          <w:szCs w:val="24"/>
        </w:rPr>
        <w:t xml:space="preserve">($2,000,000) </w:t>
      </w:r>
      <w:r w:rsidR="003F1B6E">
        <w:rPr>
          <w:rFonts w:ascii="Times New Roman" w:eastAsia="Times New Roman" w:hAnsi="Times New Roman" w:cs="Times New Roman"/>
          <w:color w:val="000000"/>
          <w:sz w:val="24"/>
          <w:szCs w:val="24"/>
        </w:rPr>
        <w:t xml:space="preserve">(CAD) </w:t>
      </w:r>
      <w:r w:rsidR="003F1B6E" w:rsidRPr="003F1B6E">
        <w:rPr>
          <w:rFonts w:ascii="Times New Roman" w:eastAsia="Times New Roman" w:hAnsi="Times New Roman" w:cs="Times New Roman"/>
          <w:color w:val="000000"/>
          <w:sz w:val="24"/>
          <w:szCs w:val="24"/>
        </w:rPr>
        <w:t xml:space="preserve">per accident or occurrence and </w:t>
      </w:r>
      <w:r w:rsidR="003F1B6E">
        <w:rPr>
          <w:rFonts w:ascii="Times New Roman" w:eastAsia="Times New Roman" w:hAnsi="Times New Roman" w:cs="Times New Roman"/>
          <w:color w:val="000000"/>
          <w:sz w:val="24"/>
          <w:szCs w:val="24"/>
        </w:rPr>
        <w:t xml:space="preserve">in the amount of </w:t>
      </w:r>
      <w:r w:rsidR="003F1B6E" w:rsidRPr="003F1B6E">
        <w:rPr>
          <w:rFonts w:ascii="Times New Roman" w:eastAsia="Times New Roman" w:hAnsi="Times New Roman" w:cs="Times New Roman"/>
          <w:color w:val="FF0000"/>
          <w:sz w:val="24"/>
          <w:szCs w:val="24"/>
        </w:rPr>
        <w:t xml:space="preserve">($2,000,000) </w:t>
      </w:r>
      <w:r w:rsidR="003F1B6E">
        <w:rPr>
          <w:rFonts w:ascii="Times New Roman" w:eastAsia="Times New Roman" w:hAnsi="Times New Roman" w:cs="Times New Roman"/>
          <w:color w:val="000000"/>
          <w:sz w:val="24"/>
          <w:szCs w:val="24"/>
        </w:rPr>
        <w:t>(CAD)</w:t>
      </w:r>
      <w:r w:rsidR="003F1B6E" w:rsidRPr="003F1B6E">
        <w:rPr>
          <w:rFonts w:ascii="Times New Roman" w:eastAsia="Times New Roman" w:hAnsi="Times New Roman" w:cs="Times New Roman"/>
          <w:color w:val="000000"/>
          <w:sz w:val="24"/>
          <w:szCs w:val="24"/>
        </w:rPr>
        <w:t xml:space="preserve"> in the aggregate.</w:t>
      </w:r>
    </w:p>
    <w:p w14:paraId="2FC2C756" w14:textId="5E65FAF8" w:rsidR="003F1B6E" w:rsidRDefault="003F1B6E" w:rsidP="007428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5671037F" w14:textId="77777777" w:rsidR="003F1B6E" w:rsidRDefault="003F1B6E" w:rsidP="00742869">
      <w:pPr>
        <w:pStyle w:val="paragraph"/>
        <w:spacing w:before="0" w:beforeAutospacing="0" w:after="0" w:afterAutospacing="0"/>
        <w:jc w:val="both"/>
        <w:textAlignment w:val="baseline"/>
        <w:rPr>
          <w:rStyle w:val="normaltextrun"/>
          <w:lang w:val="en-US"/>
        </w:rPr>
      </w:pPr>
      <w:r>
        <w:rPr>
          <w:rStyle w:val="normaltextrun"/>
          <w:lang w:val="en-US"/>
        </w:rPr>
        <w:t xml:space="preserve">The </w:t>
      </w:r>
      <w:r w:rsidRPr="00CA1D1B">
        <w:rPr>
          <w:rStyle w:val="normaltextrun"/>
          <w:color w:val="FF0000"/>
          <w:lang w:val="en-US"/>
        </w:rPr>
        <w:t>Purchaser</w:t>
      </w:r>
      <w:r>
        <w:rPr>
          <w:rStyle w:val="normaltextrun"/>
          <w:lang w:val="en-US"/>
        </w:rPr>
        <w:t xml:space="preserve"> shall be added to the Policy as an Additional Insured with respect to the liability arising out of the </w:t>
      </w:r>
      <w:r w:rsidRPr="00CA1D1B">
        <w:rPr>
          <w:rStyle w:val="normaltextrun"/>
          <w:color w:val="FF0000"/>
          <w:lang w:val="en-US"/>
        </w:rPr>
        <w:t>Contractor’s</w:t>
      </w:r>
      <w:r>
        <w:rPr>
          <w:rStyle w:val="normaltextrun"/>
          <w:lang w:val="en-US"/>
        </w:rPr>
        <w:t xml:space="preserve"> work / performance of the </w:t>
      </w:r>
      <w:r w:rsidRPr="00CA1D1B">
        <w:rPr>
          <w:rStyle w:val="normaltextrun"/>
          <w:color w:val="FF0000"/>
          <w:lang w:val="en-US"/>
        </w:rPr>
        <w:t>Contract</w:t>
      </w:r>
      <w:r>
        <w:rPr>
          <w:rStyle w:val="normaltextrun"/>
          <w:lang w:val="en-US"/>
        </w:rPr>
        <w:t>.</w:t>
      </w:r>
    </w:p>
    <w:p w14:paraId="3CAC0BFA" w14:textId="77777777" w:rsidR="003F1B6E" w:rsidRPr="003F1B6E" w:rsidRDefault="003F1B6E" w:rsidP="007428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3DEE5778" w14:textId="77777777" w:rsidR="008E55DD" w:rsidRDefault="008E55DD" w:rsidP="00742869">
      <w:pPr>
        <w:pStyle w:val="paragraph"/>
        <w:spacing w:before="0" w:beforeAutospacing="0" w:after="0" w:afterAutospacing="0"/>
        <w:jc w:val="both"/>
        <w:textAlignment w:val="baseline"/>
        <w:rPr>
          <w:rStyle w:val="normaltextrun"/>
          <w:lang w:val="en-US"/>
        </w:rPr>
      </w:pPr>
      <w:r>
        <w:rPr>
          <w:rStyle w:val="normaltextrun"/>
          <w:lang w:val="en-US"/>
        </w:rPr>
        <w:t xml:space="preserve">The Policy shall contain a Cross Liability clause, also known as a Separation of Insureds clause, such that the Policy will provide protection to each Insured in the same manner and to the same extent as if there were a separate policy that had been issued to each Insured. </w:t>
      </w:r>
    </w:p>
    <w:p w14:paraId="0D7CABC3" w14:textId="7A84815A" w:rsidR="003F1B6E" w:rsidRDefault="003F1B6E" w:rsidP="007428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24D6113D" w14:textId="6F6D7555" w:rsidR="008E55DD" w:rsidRPr="008E55DD" w:rsidRDefault="008E55DD" w:rsidP="00742869">
      <w:pPr>
        <w:overflowPunct w:val="0"/>
        <w:autoSpaceDE w:val="0"/>
        <w:autoSpaceDN w:val="0"/>
        <w:spacing w:after="0" w:line="240" w:lineRule="auto"/>
        <w:contextualSpacing/>
        <w:jc w:val="both"/>
        <w:rPr>
          <w:rFonts w:ascii="Times New Roman" w:hAnsi="Times New Roman" w:cs="Times New Roman"/>
          <w:sz w:val="24"/>
          <w:szCs w:val="24"/>
        </w:rPr>
      </w:pPr>
      <w:bookmarkStart w:id="0" w:name="_Hlk151281510"/>
      <w:r w:rsidRPr="008E55DD">
        <w:rPr>
          <w:rFonts w:ascii="Times New Roman" w:hAnsi="Times New Roman" w:cs="Times New Roman"/>
          <w:sz w:val="24"/>
          <w:szCs w:val="24"/>
        </w:rPr>
        <w:t xml:space="preserve">Where available, the </w:t>
      </w:r>
      <w:r w:rsidRPr="008E55DD">
        <w:rPr>
          <w:rFonts w:ascii="Times New Roman" w:hAnsi="Times New Roman" w:cs="Times New Roman"/>
          <w:color w:val="FF0000"/>
          <w:sz w:val="24"/>
          <w:szCs w:val="24"/>
        </w:rPr>
        <w:t>Contractor</w:t>
      </w:r>
      <w:r w:rsidRPr="008E55DD">
        <w:rPr>
          <w:rFonts w:ascii="Times New Roman" w:hAnsi="Times New Roman" w:cs="Times New Roman"/>
          <w:sz w:val="24"/>
          <w:szCs w:val="24"/>
        </w:rPr>
        <w:t xml:space="preserve"> shall provide</w:t>
      </w:r>
      <w:r w:rsidRPr="008E55DD">
        <w:rPr>
          <w:rFonts w:ascii="Times New Roman" w:hAnsi="Times New Roman" w:cs="Times New Roman"/>
          <w:spacing w:val="-3"/>
          <w:sz w:val="24"/>
          <w:szCs w:val="24"/>
        </w:rPr>
        <w:t xml:space="preserve"> </w:t>
      </w:r>
      <w:r w:rsidRPr="008E55DD">
        <w:rPr>
          <w:rFonts w:ascii="Times New Roman" w:hAnsi="Times New Roman" w:cs="Times New Roman"/>
          <w:sz w:val="24"/>
          <w:szCs w:val="24"/>
        </w:rPr>
        <w:t>the</w:t>
      </w:r>
      <w:r w:rsidRPr="008E55DD">
        <w:rPr>
          <w:rFonts w:ascii="Times New Roman" w:hAnsi="Times New Roman" w:cs="Times New Roman"/>
          <w:spacing w:val="-3"/>
          <w:sz w:val="24"/>
          <w:szCs w:val="24"/>
        </w:rPr>
        <w:t xml:space="preserve"> </w:t>
      </w:r>
      <w:r w:rsidRPr="008E55DD">
        <w:rPr>
          <w:rFonts w:ascii="Times New Roman" w:hAnsi="Times New Roman" w:cs="Times New Roman"/>
          <w:color w:val="FF0000"/>
          <w:spacing w:val="-3"/>
          <w:sz w:val="24"/>
          <w:szCs w:val="24"/>
        </w:rPr>
        <w:t>Purchaser</w:t>
      </w:r>
      <w:r w:rsidRPr="008E55DD">
        <w:rPr>
          <w:rFonts w:ascii="Times New Roman" w:hAnsi="Times New Roman" w:cs="Times New Roman"/>
          <w:spacing w:val="-5"/>
          <w:sz w:val="24"/>
          <w:szCs w:val="24"/>
        </w:rPr>
        <w:t xml:space="preserve"> </w:t>
      </w:r>
      <w:r w:rsidRPr="008E55DD">
        <w:rPr>
          <w:rFonts w:ascii="Times New Roman" w:hAnsi="Times New Roman" w:cs="Times New Roman"/>
          <w:sz w:val="24"/>
          <w:szCs w:val="24"/>
        </w:rPr>
        <w:t>with</w:t>
      </w:r>
      <w:r w:rsidRPr="008E55DD">
        <w:rPr>
          <w:rFonts w:ascii="Times New Roman" w:hAnsi="Times New Roman" w:cs="Times New Roman"/>
          <w:spacing w:val="-9"/>
          <w:sz w:val="24"/>
          <w:szCs w:val="24"/>
        </w:rPr>
        <w:t xml:space="preserve"> </w:t>
      </w:r>
      <w:r w:rsidRPr="008E55DD">
        <w:rPr>
          <w:rFonts w:ascii="Times New Roman" w:hAnsi="Times New Roman" w:cs="Times New Roman"/>
          <w:sz w:val="24"/>
          <w:szCs w:val="24"/>
        </w:rPr>
        <w:t>not</w:t>
      </w:r>
      <w:r w:rsidRPr="008E55DD">
        <w:rPr>
          <w:rFonts w:ascii="Times New Roman" w:hAnsi="Times New Roman" w:cs="Times New Roman"/>
          <w:spacing w:val="-8"/>
          <w:sz w:val="24"/>
          <w:szCs w:val="24"/>
        </w:rPr>
        <w:t xml:space="preserve"> </w:t>
      </w:r>
      <w:r w:rsidRPr="008E55DD">
        <w:rPr>
          <w:rFonts w:ascii="Times New Roman" w:hAnsi="Times New Roman" w:cs="Times New Roman"/>
          <w:sz w:val="24"/>
          <w:szCs w:val="24"/>
        </w:rPr>
        <w:t>less</w:t>
      </w:r>
      <w:r w:rsidRPr="008E55DD">
        <w:rPr>
          <w:rFonts w:ascii="Times New Roman" w:hAnsi="Times New Roman" w:cs="Times New Roman"/>
          <w:spacing w:val="-11"/>
          <w:sz w:val="24"/>
          <w:szCs w:val="24"/>
        </w:rPr>
        <w:t xml:space="preserve"> </w:t>
      </w:r>
      <w:r w:rsidRPr="008E55DD">
        <w:rPr>
          <w:rFonts w:ascii="Times New Roman" w:hAnsi="Times New Roman" w:cs="Times New Roman"/>
          <w:sz w:val="24"/>
          <w:szCs w:val="24"/>
        </w:rPr>
        <w:t>than</w:t>
      </w:r>
      <w:r w:rsidRPr="008E55DD">
        <w:rPr>
          <w:rFonts w:ascii="Times New Roman" w:hAnsi="Times New Roman" w:cs="Times New Roman"/>
          <w:spacing w:val="-5"/>
          <w:sz w:val="24"/>
          <w:szCs w:val="24"/>
        </w:rPr>
        <w:t xml:space="preserve"> </w:t>
      </w:r>
      <w:r w:rsidRPr="008E55DD">
        <w:rPr>
          <w:rFonts w:ascii="Times New Roman" w:hAnsi="Times New Roman" w:cs="Times New Roman"/>
          <w:sz w:val="24"/>
          <w:szCs w:val="24"/>
        </w:rPr>
        <w:t>30</w:t>
      </w:r>
      <w:r w:rsidRPr="008E55DD">
        <w:rPr>
          <w:rFonts w:ascii="Times New Roman" w:hAnsi="Times New Roman" w:cs="Times New Roman"/>
          <w:spacing w:val="-9"/>
          <w:sz w:val="24"/>
          <w:szCs w:val="24"/>
        </w:rPr>
        <w:t xml:space="preserve"> </w:t>
      </w:r>
      <w:r w:rsidRPr="008E55DD">
        <w:rPr>
          <w:rFonts w:ascii="Times New Roman" w:hAnsi="Times New Roman" w:cs="Times New Roman"/>
          <w:sz w:val="24"/>
          <w:szCs w:val="24"/>
        </w:rPr>
        <w:t>days’</w:t>
      </w:r>
      <w:r w:rsidRPr="008E55DD">
        <w:rPr>
          <w:rFonts w:ascii="Times New Roman" w:hAnsi="Times New Roman" w:cs="Times New Roman"/>
          <w:spacing w:val="-5"/>
          <w:sz w:val="24"/>
          <w:szCs w:val="24"/>
        </w:rPr>
        <w:t xml:space="preserve"> </w:t>
      </w:r>
      <w:r w:rsidRPr="008E55DD">
        <w:rPr>
          <w:rFonts w:ascii="Times New Roman" w:hAnsi="Times New Roman" w:cs="Times New Roman"/>
          <w:sz w:val="24"/>
          <w:szCs w:val="24"/>
        </w:rPr>
        <w:t xml:space="preserve">written notice in advance of cancellation, </w:t>
      </w:r>
      <w:r w:rsidR="007F0785">
        <w:rPr>
          <w:rFonts w:ascii="Times New Roman" w:hAnsi="Times New Roman" w:cs="Times New Roman"/>
          <w:color w:val="00B050"/>
          <w:sz w:val="24"/>
          <w:szCs w:val="24"/>
        </w:rPr>
        <w:t xml:space="preserve">material </w:t>
      </w:r>
      <w:r w:rsidRPr="008E55DD">
        <w:rPr>
          <w:rFonts w:ascii="Times New Roman" w:hAnsi="Times New Roman" w:cs="Times New Roman"/>
          <w:sz w:val="24"/>
          <w:szCs w:val="24"/>
        </w:rPr>
        <w:t>change or amendment restricting coverage.</w:t>
      </w:r>
    </w:p>
    <w:bookmarkEnd w:id="0"/>
    <w:p w14:paraId="48634EE2" w14:textId="77777777" w:rsidR="008E55DD" w:rsidRPr="003F1B6E" w:rsidRDefault="008E55DD" w:rsidP="007428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1CF566C0" w14:textId="7C65A694" w:rsidR="003F1B6E" w:rsidRPr="003F1B6E" w:rsidRDefault="003F1B6E" w:rsidP="00742869">
      <w:pPr>
        <w:pStyle w:val="paragraph"/>
        <w:spacing w:before="0" w:beforeAutospacing="0" w:after="0" w:afterAutospacing="0"/>
        <w:jc w:val="both"/>
        <w:textAlignment w:val="baseline"/>
        <w:rPr>
          <w:rStyle w:val="normaltextrun"/>
          <w:lang w:val="en-US"/>
        </w:rPr>
      </w:pPr>
    </w:p>
    <w:p w14:paraId="238D93F4" w14:textId="77777777" w:rsidR="003F1B6E" w:rsidRPr="003F1B6E" w:rsidRDefault="003F1B6E" w:rsidP="00742869">
      <w:pPr>
        <w:pStyle w:val="paragraph"/>
        <w:spacing w:before="0" w:beforeAutospacing="0" w:after="0" w:afterAutospacing="0"/>
        <w:jc w:val="both"/>
        <w:textAlignment w:val="baseline"/>
        <w:rPr>
          <w:rStyle w:val="normaltextrun"/>
          <w:lang w:val="en-US"/>
        </w:rPr>
      </w:pPr>
    </w:p>
    <w:p w14:paraId="705B2DC6" w14:textId="20B9A256" w:rsidR="006F5786" w:rsidRPr="005F196F" w:rsidRDefault="006F5786" w:rsidP="00742869">
      <w:pPr>
        <w:rPr>
          <w:rFonts w:ascii="Times New Roman" w:hAnsi="Times New Roman" w:cs="Times New Roman"/>
          <w:i/>
          <w:iCs/>
          <w:sz w:val="24"/>
          <w:szCs w:val="24"/>
        </w:rPr>
      </w:pPr>
      <w:r w:rsidRPr="005F196F">
        <w:rPr>
          <w:rFonts w:ascii="Times New Roman" w:hAnsi="Times New Roman" w:cs="Times New Roman"/>
          <w:i/>
          <w:iCs/>
          <w:sz w:val="24"/>
          <w:szCs w:val="24"/>
        </w:rPr>
        <w:t xml:space="preserve">(The entities (i.e. </w:t>
      </w:r>
      <w:r w:rsidRPr="005F196F">
        <w:rPr>
          <w:rFonts w:ascii="Times New Roman" w:hAnsi="Times New Roman" w:cs="Times New Roman"/>
          <w:i/>
          <w:iCs/>
          <w:color w:val="FF0000"/>
          <w:sz w:val="24"/>
          <w:szCs w:val="24"/>
        </w:rPr>
        <w:t>Purchaser, Contractor</w:t>
      </w:r>
      <w:r w:rsidRPr="005F196F">
        <w:rPr>
          <w:rFonts w:ascii="Times New Roman" w:hAnsi="Times New Roman" w:cs="Times New Roman"/>
          <w:i/>
          <w:iCs/>
          <w:sz w:val="24"/>
          <w:szCs w:val="24"/>
        </w:rPr>
        <w:t xml:space="preserve">), and the number (i.e. </w:t>
      </w:r>
      <w:r w:rsidRPr="005F196F">
        <w:rPr>
          <w:rFonts w:ascii="Times New Roman" w:hAnsi="Times New Roman" w:cs="Times New Roman"/>
          <w:i/>
          <w:iCs/>
          <w:color w:val="FF0000"/>
          <w:sz w:val="24"/>
          <w:szCs w:val="24"/>
        </w:rPr>
        <w:t>$</w:t>
      </w:r>
      <w:r>
        <w:rPr>
          <w:rFonts w:ascii="Times New Roman" w:hAnsi="Times New Roman" w:cs="Times New Roman"/>
          <w:i/>
          <w:iCs/>
          <w:color w:val="FF0000"/>
          <w:sz w:val="24"/>
          <w:szCs w:val="24"/>
        </w:rPr>
        <w:t>2</w:t>
      </w:r>
      <w:r w:rsidRPr="005F196F">
        <w:rPr>
          <w:rFonts w:ascii="Times New Roman" w:hAnsi="Times New Roman" w:cs="Times New Roman"/>
          <w:i/>
          <w:iCs/>
          <w:color w:val="FF0000"/>
          <w:sz w:val="24"/>
          <w:szCs w:val="24"/>
        </w:rPr>
        <w:t>,000,000</w:t>
      </w:r>
      <w:r w:rsidRPr="005F196F">
        <w:rPr>
          <w:rFonts w:ascii="Times New Roman" w:hAnsi="Times New Roman" w:cs="Times New Roman"/>
          <w:i/>
          <w:iCs/>
          <w:sz w:val="24"/>
          <w:szCs w:val="24"/>
        </w:rPr>
        <w:t xml:space="preserve">), in </w:t>
      </w:r>
      <w:r w:rsidRPr="005F196F">
        <w:rPr>
          <w:rFonts w:ascii="Times New Roman" w:hAnsi="Times New Roman" w:cs="Times New Roman"/>
          <w:i/>
          <w:iCs/>
          <w:color w:val="FF0000"/>
          <w:sz w:val="24"/>
          <w:szCs w:val="24"/>
        </w:rPr>
        <w:t xml:space="preserve">red font </w:t>
      </w:r>
      <w:r w:rsidRPr="005F196F">
        <w:rPr>
          <w:rFonts w:ascii="Times New Roman" w:hAnsi="Times New Roman" w:cs="Times New Roman"/>
          <w:i/>
          <w:iCs/>
          <w:sz w:val="24"/>
          <w:szCs w:val="24"/>
        </w:rPr>
        <w:t>are descriptors that you can substitute for the entities and numbers required for your own specific contract.)</w:t>
      </w:r>
    </w:p>
    <w:p w14:paraId="699325FF" w14:textId="77777777" w:rsidR="003F1B6E" w:rsidRPr="003F1B6E" w:rsidRDefault="003F1B6E" w:rsidP="00742869">
      <w:pPr>
        <w:pStyle w:val="paragraph"/>
        <w:spacing w:before="0" w:beforeAutospacing="0" w:after="0" w:afterAutospacing="0"/>
        <w:jc w:val="both"/>
        <w:textAlignment w:val="baseline"/>
        <w:rPr>
          <w:rStyle w:val="normaltextrun"/>
          <w:lang w:val="en-US"/>
        </w:rPr>
      </w:pPr>
    </w:p>
    <w:p w14:paraId="38DE3231" w14:textId="77777777" w:rsidR="003F1B6E" w:rsidRPr="003F1B6E" w:rsidRDefault="003F1B6E" w:rsidP="00742869">
      <w:pPr>
        <w:pStyle w:val="paragraph"/>
        <w:spacing w:before="0" w:beforeAutospacing="0" w:after="0" w:afterAutospacing="0"/>
        <w:jc w:val="both"/>
        <w:textAlignment w:val="baseline"/>
        <w:rPr>
          <w:rStyle w:val="normaltextrun"/>
          <w:lang w:val="en-US"/>
        </w:rPr>
      </w:pPr>
    </w:p>
    <w:p w14:paraId="6F34BEDA" w14:textId="77777777" w:rsidR="003F1B6E" w:rsidRPr="003F1B6E" w:rsidRDefault="003F1B6E" w:rsidP="00742869">
      <w:pPr>
        <w:pStyle w:val="paragraph"/>
        <w:spacing w:before="0" w:beforeAutospacing="0" w:after="0" w:afterAutospacing="0"/>
        <w:jc w:val="both"/>
        <w:textAlignment w:val="baseline"/>
        <w:rPr>
          <w:rStyle w:val="normaltextrun"/>
          <w:lang w:val="en-US"/>
        </w:rPr>
      </w:pPr>
    </w:p>
    <w:p w14:paraId="43997540" w14:textId="77777777" w:rsidR="003F1B6E" w:rsidRPr="003F1B6E" w:rsidRDefault="003F1B6E" w:rsidP="00742869">
      <w:pPr>
        <w:pStyle w:val="paragraph"/>
        <w:spacing w:before="0" w:beforeAutospacing="0" w:after="0" w:afterAutospacing="0"/>
        <w:jc w:val="both"/>
        <w:textAlignment w:val="baseline"/>
        <w:rPr>
          <w:rStyle w:val="normaltextrun"/>
          <w:lang w:val="en-US"/>
        </w:rPr>
      </w:pPr>
    </w:p>
    <w:p w14:paraId="72D23764" w14:textId="77777777" w:rsidR="003F1B6E" w:rsidRPr="003F1B6E" w:rsidRDefault="003F1B6E" w:rsidP="00742869">
      <w:pPr>
        <w:pStyle w:val="paragraph"/>
        <w:spacing w:before="0" w:beforeAutospacing="0" w:after="0" w:afterAutospacing="0"/>
        <w:jc w:val="both"/>
        <w:textAlignment w:val="baseline"/>
        <w:rPr>
          <w:rStyle w:val="normaltextrun"/>
          <w:lang w:val="en-US"/>
        </w:rPr>
      </w:pPr>
    </w:p>
    <w:p w14:paraId="7F75A17A" w14:textId="77777777" w:rsidR="003F1B6E" w:rsidRPr="003F1B6E" w:rsidRDefault="003F1B6E" w:rsidP="00742869">
      <w:pPr>
        <w:pStyle w:val="paragraph"/>
        <w:spacing w:before="0" w:beforeAutospacing="0" w:after="0" w:afterAutospacing="0"/>
        <w:jc w:val="both"/>
        <w:textAlignment w:val="baseline"/>
        <w:rPr>
          <w:rStyle w:val="normaltextrun"/>
          <w:lang w:val="en-US"/>
        </w:rPr>
      </w:pPr>
    </w:p>
    <w:p w14:paraId="22586F05" w14:textId="77777777" w:rsidR="003F1B6E" w:rsidRPr="003F1B6E" w:rsidRDefault="003F1B6E" w:rsidP="00742869">
      <w:pPr>
        <w:pStyle w:val="paragraph"/>
        <w:spacing w:before="0" w:beforeAutospacing="0" w:after="0" w:afterAutospacing="0"/>
        <w:jc w:val="both"/>
        <w:textAlignment w:val="baseline"/>
        <w:rPr>
          <w:rStyle w:val="normaltextrun"/>
          <w:lang w:val="en-US"/>
        </w:rPr>
      </w:pPr>
    </w:p>
    <w:p w14:paraId="0426721D" w14:textId="77777777" w:rsidR="003F1B6E" w:rsidRPr="003F1B6E" w:rsidRDefault="003F1B6E" w:rsidP="00742869">
      <w:pPr>
        <w:pStyle w:val="paragraph"/>
        <w:spacing w:before="0" w:beforeAutospacing="0" w:after="0" w:afterAutospacing="0"/>
        <w:jc w:val="both"/>
        <w:textAlignment w:val="baseline"/>
        <w:rPr>
          <w:rStyle w:val="normaltextrun"/>
          <w:lang w:val="en-US"/>
        </w:rPr>
      </w:pPr>
    </w:p>
    <w:sectPr w:rsidR="003F1B6E" w:rsidRPr="003F1B6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8CA9E4" w14:textId="77777777" w:rsidR="0028109E" w:rsidRDefault="0028109E" w:rsidP="00B44FCD">
      <w:pPr>
        <w:spacing w:after="0" w:line="240" w:lineRule="auto"/>
      </w:pPr>
      <w:r>
        <w:separator/>
      </w:r>
    </w:p>
  </w:endnote>
  <w:endnote w:type="continuationSeparator" w:id="0">
    <w:p w14:paraId="25CE6B57" w14:textId="77777777" w:rsidR="0028109E" w:rsidRDefault="0028109E" w:rsidP="00B44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2A6E5" w14:textId="77777777" w:rsidR="00B44FCD" w:rsidRDefault="00B44F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D53B4" w14:textId="77777777" w:rsidR="00B44FCD" w:rsidRDefault="00B44FCD" w:rsidP="00B44FCD">
    <w:pPr>
      <w:ind w:right="-720"/>
      <w:rPr>
        <w:rFonts w:ascii="Times New Roman" w:hAnsi="Times New Roman" w:cs="Times New Roman"/>
        <w:i/>
        <w:iCs/>
        <w:sz w:val="20"/>
        <w:szCs w:val="20"/>
      </w:rPr>
    </w:pPr>
    <w:r>
      <w:rPr>
        <w:rFonts w:ascii="Times New Roman" w:hAnsi="Times New Roman" w:cs="Times New Roman"/>
        <w:i/>
        <w:iCs/>
        <w:sz w:val="20"/>
        <w:szCs w:val="20"/>
      </w:rPr>
      <w:t>“While we endeavor to keep the information up to date and correct, RIMS makes no representations or warranties of any kind, either express or implied, about the completeness, accuracy, reliability, suitability, or availability with respect to the website or the information, products, services, or related graphics contained on the website for any purpose. Any reliance you place on such material is therefore strictly at your own risk.”</w:t>
    </w:r>
  </w:p>
  <w:p w14:paraId="54A60F31" w14:textId="77777777" w:rsidR="00B44FCD" w:rsidRDefault="00B44F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0734EC" w14:textId="77777777" w:rsidR="00B44FCD" w:rsidRDefault="00B44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5B4809" w14:textId="77777777" w:rsidR="0028109E" w:rsidRDefault="0028109E" w:rsidP="00B44FCD">
      <w:pPr>
        <w:spacing w:after="0" w:line="240" w:lineRule="auto"/>
      </w:pPr>
      <w:r>
        <w:separator/>
      </w:r>
    </w:p>
  </w:footnote>
  <w:footnote w:type="continuationSeparator" w:id="0">
    <w:p w14:paraId="2F1DB8AA" w14:textId="77777777" w:rsidR="0028109E" w:rsidRDefault="0028109E" w:rsidP="00B44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29BCCC" w14:textId="77777777" w:rsidR="00B44FCD" w:rsidRDefault="00B44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0338A" w14:textId="77777777" w:rsidR="00B44FCD" w:rsidRDefault="00B44F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4AEB6" w14:textId="77777777" w:rsidR="00B44FCD" w:rsidRDefault="00B44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50509"/>
    <w:multiLevelType w:val="hybridMultilevel"/>
    <w:tmpl w:val="C0C262EA"/>
    <w:lvl w:ilvl="0" w:tplc="0409000F">
      <w:start w:val="1"/>
      <w:numFmt w:val="decimal"/>
      <w:lvlText w:val="%1."/>
      <w:lvlJc w:val="left"/>
      <w:pPr>
        <w:ind w:left="720" w:hanging="360"/>
      </w:pPr>
    </w:lvl>
    <w:lvl w:ilvl="1" w:tplc="2CBC9FD0">
      <w:start w:val="1"/>
      <w:numFmt w:val="lowerLetter"/>
      <w:lvlText w:val="(%2)"/>
      <w:lvlJc w:val="left"/>
      <w:pPr>
        <w:ind w:left="1590" w:hanging="51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9703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98C"/>
    <w:rsid w:val="000E69BA"/>
    <w:rsid w:val="0028109E"/>
    <w:rsid w:val="003F1B6E"/>
    <w:rsid w:val="00413CE0"/>
    <w:rsid w:val="004F3311"/>
    <w:rsid w:val="006F5786"/>
    <w:rsid w:val="00742869"/>
    <w:rsid w:val="007F0785"/>
    <w:rsid w:val="008E55DD"/>
    <w:rsid w:val="008F7688"/>
    <w:rsid w:val="00B03A4E"/>
    <w:rsid w:val="00B44FCD"/>
    <w:rsid w:val="00BA03EB"/>
    <w:rsid w:val="00F0298C"/>
    <w:rsid w:val="00F45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D02E2"/>
  <w15:chartTrackingRefBased/>
  <w15:docId w15:val="{E49F2129-5CC8-47EA-8F74-E02A8DEA1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9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F0298C"/>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normaltextrun">
    <w:name w:val="normaltextrun"/>
    <w:basedOn w:val="DefaultParagraphFont"/>
    <w:rsid w:val="00F0298C"/>
  </w:style>
  <w:style w:type="character" w:customStyle="1" w:styleId="eop">
    <w:name w:val="eop"/>
    <w:basedOn w:val="DefaultParagraphFont"/>
    <w:rsid w:val="00F0298C"/>
  </w:style>
  <w:style w:type="paragraph" w:styleId="ListParagraph">
    <w:name w:val="List Paragraph"/>
    <w:basedOn w:val="Normal"/>
    <w:uiPriority w:val="34"/>
    <w:qFormat/>
    <w:rsid w:val="003F1B6E"/>
    <w:pPr>
      <w:ind w:left="720"/>
      <w:contextualSpacing/>
    </w:pPr>
  </w:style>
  <w:style w:type="paragraph" w:styleId="Header">
    <w:name w:val="header"/>
    <w:basedOn w:val="Normal"/>
    <w:link w:val="HeaderChar"/>
    <w:uiPriority w:val="99"/>
    <w:unhideWhenUsed/>
    <w:rsid w:val="00B44F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FCD"/>
  </w:style>
  <w:style w:type="paragraph" w:styleId="Footer">
    <w:name w:val="footer"/>
    <w:basedOn w:val="Normal"/>
    <w:link w:val="FooterChar"/>
    <w:uiPriority w:val="99"/>
    <w:unhideWhenUsed/>
    <w:rsid w:val="00B44F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989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238</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Miles</dc:creator>
  <cp:keywords/>
  <dc:description/>
  <cp:lastModifiedBy>Homan, Annette</cp:lastModifiedBy>
  <cp:revision>2</cp:revision>
  <dcterms:created xsi:type="dcterms:W3CDTF">2024-04-15T19:12:00Z</dcterms:created>
  <dcterms:modified xsi:type="dcterms:W3CDTF">2024-04-15T19:12:00Z</dcterms:modified>
</cp:coreProperties>
</file>